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91" w:rsidRPr="00D95F91" w:rsidRDefault="00D95F91" w:rsidP="00D95F91">
      <w:pPr>
        <w:shd w:val="clear" w:color="auto" w:fill="FFFFFF"/>
        <w:spacing w:after="136" w:line="240" w:lineRule="auto"/>
        <w:jc w:val="center"/>
        <w:rPr>
          <w:rFonts w:ascii="Arial" w:eastAsia="Times New Roman" w:hAnsi="Arial" w:cs="Arial"/>
          <w:color w:val="000000"/>
          <w:sz w:val="25"/>
          <w:szCs w:val="25"/>
          <w:lang w:eastAsia="ru-RU"/>
        </w:rPr>
      </w:pPr>
      <w:r w:rsidRPr="00D95F91">
        <w:rPr>
          <w:rFonts w:ascii="Arial" w:eastAsia="Times New Roman" w:hAnsi="Arial" w:cs="Arial"/>
          <w:b/>
          <w:bCs/>
          <w:color w:val="000000"/>
          <w:sz w:val="25"/>
          <w:lang w:eastAsia="ru-RU"/>
        </w:rPr>
        <w:t>МЕТОДИЧЕСКИЕ РЕКОМЕНДАЦИИ</w:t>
      </w:r>
    </w:p>
    <w:p w:rsidR="00D95F91" w:rsidRPr="00D95F91" w:rsidRDefault="00D95F91" w:rsidP="00D95F91">
      <w:pPr>
        <w:shd w:val="clear" w:color="auto" w:fill="FFFFFF"/>
        <w:spacing w:after="136" w:line="240" w:lineRule="auto"/>
        <w:jc w:val="center"/>
        <w:rPr>
          <w:rFonts w:ascii="Arial" w:eastAsia="Times New Roman" w:hAnsi="Arial" w:cs="Arial"/>
          <w:color w:val="000000"/>
          <w:sz w:val="25"/>
          <w:szCs w:val="25"/>
          <w:lang w:eastAsia="ru-RU"/>
        </w:rPr>
      </w:pPr>
      <w:r w:rsidRPr="00D95F91">
        <w:rPr>
          <w:rFonts w:ascii="Arial" w:eastAsia="Times New Roman" w:hAnsi="Arial" w:cs="Arial"/>
          <w:b/>
          <w:bCs/>
          <w:color w:val="000000"/>
          <w:sz w:val="25"/>
          <w:lang w:eastAsia="ru-RU"/>
        </w:rPr>
        <w:t>ПО ВОПРОСАМ ПРЕДСТАВЛЕНИЯ СВЕДЕНИЙ</w:t>
      </w:r>
    </w:p>
    <w:p w:rsidR="00D95F91" w:rsidRPr="00D95F91" w:rsidRDefault="00D95F91" w:rsidP="00D95F91">
      <w:pPr>
        <w:shd w:val="clear" w:color="auto" w:fill="FFFFFF"/>
        <w:spacing w:after="136" w:line="240" w:lineRule="auto"/>
        <w:jc w:val="center"/>
        <w:rPr>
          <w:rFonts w:ascii="Arial" w:eastAsia="Times New Roman" w:hAnsi="Arial" w:cs="Arial"/>
          <w:color w:val="000000"/>
          <w:sz w:val="25"/>
          <w:szCs w:val="25"/>
          <w:lang w:eastAsia="ru-RU"/>
        </w:rPr>
      </w:pPr>
      <w:r w:rsidRPr="00D95F91">
        <w:rPr>
          <w:rFonts w:ascii="Arial" w:eastAsia="Times New Roman" w:hAnsi="Arial" w:cs="Arial"/>
          <w:b/>
          <w:bCs/>
          <w:color w:val="000000"/>
          <w:sz w:val="25"/>
          <w:lang w:eastAsia="ru-RU"/>
        </w:rPr>
        <w:t>О ДОХОДАХ, РАСХОДАХ, ОБ ИМУЩЕСТВЕ И ОБЯЗАТЕЛЬСТВАХ ИМУЩЕСТВЕННОГО ХАРАКТЕРА</w:t>
      </w:r>
    </w:p>
    <w:p w:rsidR="00D95F91" w:rsidRPr="00D95F91" w:rsidRDefault="00D95F91" w:rsidP="00D95F91">
      <w:pPr>
        <w:shd w:val="clear" w:color="auto" w:fill="FFFFFF"/>
        <w:spacing w:after="136" w:line="240" w:lineRule="auto"/>
        <w:jc w:val="center"/>
        <w:rPr>
          <w:rFonts w:ascii="Arial" w:eastAsia="Times New Roman" w:hAnsi="Arial" w:cs="Arial"/>
          <w:color w:val="000000"/>
          <w:sz w:val="25"/>
          <w:szCs w:val="25"/>
          <w:lang w:eastAsia="ru-RU"/>
        </w:rPr>
      </w:pPr>
      <w:r w:rsidRPr="00D95F91">
        <w:rPr>
          <w:rFonts w:ascii="Arial" w:eastAsia="Times New Roman" w:hAnsi="Arial" w:cs="Arial"/>
          <w:b/>
          <w:bCs/>
          <w:color w:val="000000"/>
          <w:sz w:val="25"/>
          <w:lang w:eastAsia="ru-RU"/>
        </w:rPr>
        <w:t>И ЗАПОЛНЕНИЯ СООТВЕТСТВУЮЩЕЙ ФОРМЫ СПРАВКИ</w:t>
      </w:r>
    </w:p>
    <w:p w:rsidR="00D95F91" w:rsidRPr="00D95F91" w:rsidRDefault="00D95F91" w:rsidP="00D95F91">
      <w:pPr>
        <w:shd w:val="clear" w:color="auto" w:fill="FFFFFF"/>
        <w:spacing w:after="136" w:line="240" w:lineRule="auto"/>
        <w:jc w:val="center"/>
        <w:rPr>
          <w:rFonts w:ascii="Arial" w:eastAsia="Times New Roman" w:hAnsi="Arial" w:cs="Arial"/>
          <w:color w:val="000000"/>
          <w:sz w:val="25"/>
          <w:szCs w:val="25"/>
          <w:lang w:eastAsia="ru-RU"/>
        </w:rPr>
      </w:pPr>
      <w:r w:rsidRPr="00D95F91">
        <w:rPr>
          <w:rFonts w:ascii="Arial" w:eastAsia="Times New Roman" w:hAnsi="Arial" w:cs="Arial"/>
          <w:b/>
          <w:bCs/>
          <w:color w:val="000000"/>
          <w:sz w:val="25"/>
          <w:lang w:eastAsia="ru-RU"/>
        </w:rPr>
        <w:t>в 2019 году (за отчетный 2018 год)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В соответствии с пунктом 25 Указа Президента Российской Федерации от 2 апреля 2013 г.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I. Представление сведений о доходах, расходах,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об имуществе и обязательствах имущественного характера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Лица, обязанные представлять сведения о доходах, расходах, об имуществе и обязательствах имущественного характера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 иными лицами в соответствии с законодательством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 государственной должности Российской Федерации, государственной должности субъекта Российской Федерации, муниципальной должности;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 любой должности государственной службы (поступающим на службу);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 должности муниципальной службы, включенной в перечни, утвержденные нормативными правовыми актами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 xml:space="preserve">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w:t>
      </w:r>
      <w:r w:rsidRPr="00D95F91">
        <w:rPr>
          <w:rFonts w:ascii="Arial" w:eastAsia="Times New Roman" w:hAnsi="Arial" w:cs="Arial"/>
          <w:color w:val="000000"/>
          <w:sz w:val="25"/>
          <w:szCs w:val="25"/>
          <w:lang w:eastAsia="ru-RU"/>
        </w:rPr>
        <w:lastRenderedPageBreak/>
        <w:t>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8)должности финансового уполномоченного, руководителя службы обеспечения деятельности финансового уполномоченного;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9)иных должностей в соответствии с законодательством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18мая 2009г.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Обязательность представления сведений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w:t>
      </w:r>
      <w:r w:rsidRPr="00D95F91">
        <w:rPr>
          <w:rFonts w:ascii="Arial" w:eastAsia="Times New Roman" w:hAnsi="Arial" w:cs="Arial"/>
          <w:color w:val="000000"/>
          <w:sz w:val="25"/>
          <w:szCs w:val="25"/>
          <w:lang w:eastAsia="ru-RU"/>
        </w:rPr>
        <w:lastRenderedPageBreak/>
        <w:t>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Сроки представления сведений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 Служащие (работники) представляют сведения ежегодно в следующие сроки: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 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 Сведения могут быть представлены служащим (работником) в любое время, начиная с 1 января года, следующего за отчетным.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Лица, в отношении которых представляются сведения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11. Сведения представляются отдельно: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1)в отношении служащего (работника),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2)в отношении его супруги (супруга),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3)в отношении каждого несовершеннолетнего ребенка служащего (работника).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12. Отчетный период и отчетная дата представления сведений, установленные для граждан и служащих (работников), различны: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 гражданин представляет:</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а)сведения о своих доходах, доходах супруги (супруга) и несовершеннолетних детей, полученных за календарный год, предшествующий году подачи документов (с 1января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б)сведения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 служащий (работник) представляет ежегодно: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а)сведения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1января по 31декабря),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б)сведения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(31декабря года, предшествующего году представления сведений);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Замещение конкретной должности на отчетную дату как основание для представления сведений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13. Служащий (работник) должен представить сведения, если по состоянию на 31декабря отчетногогода: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 замещаемая им должность была включена в соответствующий перечень должностей, а сам служащий (работник) замещал указанную должность;</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 xml:space="preserve">2) временно замещаемая им должность, обязанности по которой исполнялись служащим (работником) в соответствии с приказом (распоряжением) </w:t>
      </w:r>
      <w:r w:rsidRPr="00D95F91">
        <w:rPr>
          <w:rFonts w:ascii="Arial" w:eastAsia="Times New Roman" w:hAnsi="Arial" w:cs="Arial"/>
          <w:color w:val="000000"/>
          <w:sz w:val="25"/>
          <w:szCs w:val="25"/>
          <w:lang w:eastAsia="ru-RU"/>
        </w:rPr>
        <w:lastRenderedPageBreak/>
        <w:t>представителя нанимателя (работодателя), была включена в соответствующий перечень должностей.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 Перевод служащего в другой государственный орган в период с 1января по 1(30)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2018г.</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16. Представление сведений в случае увольнения служащего (работника) в период с 1 января по 1(30) апреля 2019 г. в соответствующее структурное подразделение государственного органа, в котором он замещал должность 31 декабря 2018г., не является нарушением.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Определение круга лиц (членов семьи), в отношении которых необходимо представить сведения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Супруги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19. При представлении сведений в отношении супруги (супруга) следует учитывать положения статей 10 «Заключение брака» и 25«Момент прекращения брака при его расторжении» Семейного кодекса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20.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Перечень ситуаций и рекомендуемые действия (таблица №1):</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Пример: служащий (работник) представляет сведения в 2019 году </w:t>
      </w:r>
      <w:r w:rsidRPr="00D95F91">
        <w:rPr>
          <w:rFonts w:ascii="Arial" w:eastAsia="Times New Roman" w:hAnsi="Arial" w:cs="Arial"/>
          <w:color w:val="000000"/>
          <w:sz w:val="25"/>
          <w:szCs w:val="25"/>
          <w:lang w:eastAsia="ru-RU"/>
        </w:rPr>
        <w:br/>
        <w:t>(за отчетный 2018 г.)</w:t>
      </w:r>
      <w:r w:rsidRPr="00D95F91">
        <w:rPr>
          <w:rFonts w:ascii="Arial" w:eastAsia="Times New Roman" w:hAnsi="Arial" w:cs="Arial"/>
          <w:color w:val="000000"/>
          <w:sz w:val="25"/>
          <w:szCs w:val="25"/>
          <w:lang w:eastAsia="ru-RU"/>
        </w:rPr>
        <w:br/>
        <w:t>Брак заключен в органах записи актов гражданского состояния (далее – ЗАГС) в ноябре 2018 года</w:t>
      </w:r>
      <w:r w:rsidRPr="00D95F91">
        <w:rPr>
          <w:rFonts w:ascii="Arial" w:eastAsia="Times New Roman" w:hAnsi="Arial" w:cs="Arial"/>
          <w:color w:val="000000"/>
          <w:sz w:val="25"/>
          <w:szCs w:val="25"/>
          <w:lang w:eastAsia="ru-RU"/>
        </w:rPr>
        <w:br/>
      </w:r>
      <w:r w:rsidRPr="00D95F91">
        <w:rPr>
          <w:rFonts w:ascii="Arial" w:eastAsia="Times New Roman" w:hAnsi="Arial" w:cs="Arial"/>
          <w:color w:val="000000"/>
          <w:sz w:val="25"/>
          <w:szCs w:val="25"/>
          <w:lang w:eastAsia="ru-RU"/>
        </w:rPr>
        <w:lastRenderedPageBreak/>
        <w:t>сведения в отношении супруги (супруга) представляются, поскольку по состоянию на отчетную дату (31декабря 2018 года) служащий (работник) состоял в браке</w:t>
      </w:r>
      <w:r w:rsidRPr="00D95F91">
        <w:rPr>
          <w:rFonts w:ascii="Arial" w:eastAsia="Times New Roman" w:hAnsi="Arial" w:cs="Arial"/>
          <w:color w:val="000000"/>
          <w:sz w:val="25"/>
          <w:szCs w:val="25"/>
          <w:lang w:eastAsia="ru-RU"/>
        </w:rPr>
        <w:br/>
        <w:t>Брак заключен в ЗАГСе в марте 2019 года</w:t>
      </w:r>
      <w:r w:rsidRPr="00D95F91">
        <w:rPr>
          <w:rFonts w:ascii="Arial" w:eastAsia="Times New Roman" w:hAnsi="Arial" w:cs="Arial"/>
          <w:color w:val="000000"/>
          <w:sz w:val="25"/>
          <w:szCs w:val="25"/>
          <w:lang w:eastAsia="ru-RU"/>
        </w:rPr>
        <w:br/>
        <w:t>сведения в отношении супруги (супруга) не представляются, поскольку по состоянию на отчетную дату (31декабря 2018 года) служащий (работник) не состоял в браке </w:t>
      </w:r>
      <w:r w:rsidRPr="00D95F91">
        <w:rPr>
          <w:rFonts w:ascii="Arial" w:eastAsia="Times New Roman" w:hAnsi="Arial" w:cs="Arial"/>
          <w:color w:val="000000"/>
          <w:sz w:val="25"/>
          <w:szCs w:val="25"/>
          <w:lang w:eastAsia="ru-RU"/>
        </w:rPr>
        <w:br/>
        <w:t>Пример: гражданин в сентябре 2019года представляет сведения в связи с подачей документов для назначения на должность. Отчетной датой является 1 августа 2019 года</w:t>
      </w:r>
      <w:r w:rsidRPr="00D95F91">
        <w:rPr>
          <w:rFonts w:ascii="Arial" w:eastAsia="Times New Roman" w:hAnsi="Arial" w:cs="Arial"/>
          <w:color w:val="000000"/>
          <w:sz w:val="25"/>
          <w:szCs w:val="25"/>
          <w:lang w:eastAsia="ru-RU"/>
        </w:rPr>
        <w:br/>
        <w:t>Брак заключен 1 февраля 2019 года</w:t>
      </w:r>
      <w:r w:rsidRPr="00D95F91">
        <w:rPr>
          <w:rFonts w:ascii="Arial" w:eastAsia="Times New Roman" w:hAnsi="Arial" w:cs="Arial"/>
          <w:color w:val="000000"/>
          <w:sz w:val="25"/>
          <w:szCs w:val="25"/>
          <w:lang w:eastAsia="ru-RU"/>
        </w:rPr>
        <w:br/>
        <w:t>сведения в отношении супруги представляются, поскольку по состоянию на отчетную дату (1августа 2019 года) гражданин состоял в браке</w:t>
      </w:r>
      <w:r w:rsidRPr="00D95F91">
        <w:rPr>
          <w:rFonts w:ascii="Arial" w:eastAsia="Times New Roman" w:hAnsi="Arial" w:cs="Arial"/>
          <w:color w:val="000000"/>
          <w:sz w:val="25"/>
          <w:szCs w:val="25"/>
          <w:lang w:eastAsia="ru-RU"/>
        </w:rPr>
        <w:br/>
        <w:t>Брак заключен 2 августа 2019 года</w:t>
      </w:r>
      <w:r w:rsidRPr="00D95F91">
        <w:rPr>
          <w:rFonts w:ascii="Arial" w:eastAsia="Times New Roman" w:hAnsi="Arial" w:cs="Arial"/>
          <w:color w:val="000000"/>
          <w:sz w:val="25"/>
          <w:szCs w:val="25"/>
          <w:lang w:eastAsia="ru-RU"/>
        </w:rPr>
        <w:br/>
        <w:t>сведения в отношении супруги не представляются, поскольку по состоянию на отчетную дату (1августа 2019 года) гражданин еще не вступил в брак</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21.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Перечень ситуаций и рекомендуемые действия (таблица №2)</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Пример: служащий (работник) представляет сведения в 2019 году (за отчетный 2018 г.)</w:t>
      </w:r>
      <w:r w:rsidRPr="00D95F91">
        <w:rPr>
          <w:rFonts w:ascii="Arial" w:eastAsia="Times New Roman" w:hAnsi="Arial" w:cs="Arial"/>
          <w:color w:val="000000"/>
          <w:sz w:val="25"/>
          <w:szCs w:val="25"/>
          <w:lang w:eastAsia="ru-RU"/>
        </w:rPr>
        <w:br/>
        <w:t>Брак был расторгнут в ЗАГСе в ноябре 2018года</w:t>
      </w:r>
      <w:r w:rsidRPr="00D95F91">
        <w:rPr>
          <w:rFonts w:ascii="Arial" w:eastAsia="Times New Roman" w:hAnsi="Arial" w:cs="Arial"/>
          <w:color w:val="000000"/>
          <w:sz w:val="25"/>
          <w:szCs w:val="25"/>
          <w:lang w:eastAsia="ru-RU"/>
        </w:rPr>
        <w:br/>
        <w:t>сведения в отношении бывшей супруги не представляются, поскольку по состоянию на отчетную дату (31декабря 2018 года) служащий (работник) не состоял в браке</w:t>
      </w:r>
      <w:r w:rsidRPr="00D95F91">
        <w:rPr>
          <w:rFonts w:ascii="Arial" w:eastAsia="Times New Roman" w:hAnsi="Arial" w:cs="Arial"/>
          <w:color w:val="000000"/>
          <w:sz w:val="25"/>
          <w:szCs w:val="25"/>
          <w:lang w:eastAsia="ru-RU"/>
        </w:rPr>
        <w:br/>
        <w:t>Окончательное решение о расторжении брака было принято судом 12декабря 2018года и вступило в законную силу 12 января 2019 года</w:t>
      </w:r>
      <w:r w:rsidRPr="00D95F91">
        <w:rPr>
          <w:rFonts w:ascii="Arial" w:eastAsia="Times New Roman" w:hAnsi="Arial" w:cs="Arial"/>
          <w:color w:val="000000"/>
          <w:sz w:val="25"/>
          <w:szCs w:val="25"/>
          <w:lang w:eastAsia="ru-RU"/>
        </w:rPr>
        <w:b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2019года. Таким образом, по состоянию на отчетную дату (31декабря 2018года) служащий (работник) считался состоявшим в браке</w:t>
      </w:r>
      <w:r w:rsidRPr="00D95F91">
        <w:rPr>
          <w:rFonts w:ascii="Arial" w:eastAsia="Times New Roman" w:hAnsi="Arial" w:cs="Arial"/>
          <w:color w:val="000000"/>
          <w:sz w:val="25"/>
          <w:szCs w:val="25"/>
          <w:lang w:eastAsia="ru-RU"/>
        </w:rPr>
        <w:br/>
        <w:t>Брак был расторгнут в ЗАГСе в марте 2019 года </w:t>
      </w:r>
      <w:r w:rsidRPr="00D95F91">
        <w:rPr>
          <w:rFonts w:ascii="Arial" w:eastAsia="Times New Roman" w:hAnsi="Arial" w:cs="Arial"/>
          <w:color w:val="000000"/>
          <w:sz w:val="25"/>
          <w:szCs w:val="25"/>
          <w:lang w:eastAsia="ru-RU"/>
        </w:rPr>
        <w:br/>
        <w:t>сведения в отношении бывшей супруги представляются, поскольку по состоянию на отчетную дату (31декабря 2018 года) служащий (работник) состоял в браке</w:t>
      </w:r>
      <w:r w:rsidRPr="00D95F91">
        <w:rPr>
          <w:rFonts w:ascii="Arial" w:eastAsia="Times New Roman" w:hAnsi="Arial" w:cs="Arial"/>
          <w:color w:val="000000"/>
          <w:sz w:val="25"/>
          <w:szCs w:val="25"/>
          <w:lang w:eastAsia="ru-RU"/>
        </w:rPr>
        <w:br/>
        <w:t>Пример: гражданин в сентябре 2019года представляет сведения в связи с подачей документов для назначения на должность. Отчетной датой является 1 августа 2019 года</w:t>
      </w:r>
      <w:r w:rsidRPr="00D95F91">
        <w:rPr>
          <w:rFonts w:ascii="Arial" w:eastAsia="Times New Roman" w:hAnsi="Arial" w:cs="Arial"/>
          <w:color w:val="000000"/>
          <w:sz w:val="25"/>
          <w:szCs w:val="25"/>
          <w:lang w:eastAsia="ru-RU"/>
        </w:rPr>
        <w:br/>
        <w:t>Брак был расторгнут в ЗАГСе 1июля 2019 года</w:t>
      </w:r>
      <w:r w:rsidRPr="00D95F91">
        <w:rPr>
          <w:rFonts w:ascii="Arial" w:eastAsia="Times New Roman" w:hAnsi="Arial" w:cs="Arial"/>
          <w:color w:val="000000"/>
          <w:sz w:val="25"/>
          <w:szCs w:val="25"/>
          <w:lang w:eastAsia="ru-RU"/>
        </w:rPr>
        <w:br/>
        <w:t>сведения в отношении бывшей супруги не представляются, поскольку по состоянию на отчетную дату (1августа 2019года) гражданин не состоял в браке</w:t>
      </w:r>
      <w:r w:rsidRPr="00D95F91">
        <w:rPr>
          <w:rFonts w:ascii="Arial" w:eastAsia="Times New Roman" w:hAnsi="Arial" w:cs="Arial"/>
          <w:color w:val="000000"/>
          <w:sz w:val="25"/>
          <w:szCs w:val="25"/>
          <w:lang w:eastAsia="ru-RU"/>
        </w:rPr>
        <w:br/>
        <w:t>Брак был расторгнут в ЗАГСе 2августа 2019 года </w:t>
      </w:r>
      <w:r w:rsidRPr="00D95F91">
        <w:rPr>
          <w:rFonts w:ascii="Arial" w:eastAsia="Times New Roman" w:hAnsi="Arial" w:cs="Arial"/>
          <w:color w:val="000000"/>
          <w:sz w:val="25"/>
          <w:szCs w:val="25"/>
          <w:lang w:eastAsia="ru-RU"/>
        </w:rPr>
        <w:br/>
        <w:t xml:space="preserve">сведения в отношении бывшей супруги представляются, поскольку по </w:t>
      </w:r>
      <w:r w:rsidRPr="00D95F91">
        <w:rPr>
          <w:rFonts w:ascii="Arial" w:eastAsia="Times New Roman" w:hAnsi="Arial" w:cs="Arial"/>
          <w:color w:val="000000"/>
          <w:sz w:val="25"/>
          <w:szCs w:val="25"/>
          <w:lang w:eastAsia="ru-RU"/>
        </w:rPr>
        <w:lastRenderedPageBreak/>
        <w:t>состоянию на отчетную дату (1августа 2019года) гражданин состоял в браке</w:t>
      </w:r>
      <w:r w:rsidRPr="00D95F91">
        <w:rPr>
          <w:rFonts w:ascii="Arial" w:eastAsia="Times New Roman" w:hAnsi="Arial" w:cs="Arial"/>
          <w:color w:val="000000"/>
          <w:sz w:val="25"/>
          <w:szCs w:val="25"/>
          <w:lang w:eastAsia="ru-RU"/>
        </w:rPr>
        <w:br/>
        <w:t>Окончательное решение о расторжении брака было принято судом 4июля 2019года и вступило в законную силу 4 августа 2019 г.</w:t>
      </w:r>
      <w:r w:rsidRPr="00D95F91">
        <w:rPr>
          <w:rFonts w:ascii="Arial" w:eastAsia="Times New Roman" w:hAnsi="Arial" w:cs="Arial"/>
          <w:color w:val="000000"/>
          <w:sz w:val="25"/>
          <w:szCs w:val="25"/>
          <w:lang w:eastAsia="ru-RU"/>
        </w:rPr>
        <w:b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5августа 2019года. Таким образом, по состоянию на отчетную дату (1августа 2019года) гражданин считался состоявшим в браке</w:t>
      </w:r>
      <w:r w:rsidRPr="00D95F91">
        <w:rPr>
          <w:rFonts w:ascii="Arial" w:eastAsia="Times New Roman" w:hAnsi="Arial" w:cs="Arial"/>
          <w:color w:val="000000"/>
          <w:sz w:val="25"/>
          <w:szCs w:val="25"/>
          <w:lang w:eastAsia="ru-RU"/>
        </w:rPr>
        <w:br/>
        <w:t>Несовершеннолетние дети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22. Статья60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18лет. Таким образом, ребенок считается совершеннолетним при достижении им возраста 18лет.</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Перечень ситуаций и рекомендуемые действия (таблица №3):</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Пример: служащий (работник) представляет сведения в 2019 году (за отчетный 2018 г.)</w:t>
      </w:r>
      <w:r w:rsidRPr="00D95F91">
        <w:rPr>
          <w:rFonts w:ascii="Arial" w:eastAsia="Times New Roman" w:hAnsi="Arial" w:cs="Arial"/>
          <w:color w:val="000000"/>
          <w:sz w:val="25"/>
          <w:szCs w:val="25"/>
          <w:lang w:eastAsia="ru-RU"/>
        </w:rPr>
        <w:br/>
        <w:t>Дочери служащего (работника) 21мая 2018года исполнилось 18лет</w:t>
      </w:r>
      <w:r w:rsidRPr="00D95F91">
        <w:rPr>
          <w:rFonts w:ascii="Arial" w:eastAsia="Times New Roman" w:hAnsi="Arial" w:cs="Arial"/>
          <w:color w:val="000000"/>
          <w:sz w:val="25"/>
          <w:szCs w:val="25"/>
          <w:lang w:eastAsia="ru-RU"/>
        </w:rPr>
        <w:br/>
        <w:t>сведения в отношении дочери не представляются, поскольку по состоянию на отчетную дату (31декабря 2018года) дочери служащего (работника) уже исполнилось 18лет, она являлась совершеннолетней</w:t>
      </w:r>
      <w:r w:rsidRPr="00D95F91">
        <w:rPr>
          <w:rFonts w:ascii="Arial" w:eastAsia="Times New Roman" w:hAnsi="Arial" w:cs="Arial"/>
          <w:color w:val="000000"/>
          <w:sz w:val="25"/>
          <w:szCs w:val="25"/>
          <w:lang w:eastAsia="ru-RU"/>
        </w:rPr>
        <w:br/>
        <w:t>Дочери служащего (работника) 30декабря 2018года исполнилось 18лет</w:t>
      </w:r>
      <w:r w:rsidRPr="00D95F91">
        <w:rPr>
          <w:rFonts w:ascii="Arial" w:eastAsia="Times New Roman" w:hAnsi="Arial" w:cs="Arial"/>
          <w:color w:val="000000"/>
          <w:sz w:val="25"/>
          <w:szCs w:val="25"/>
          <w:lang w:eastAsia="ru-RU"/>
        </w:rPr>
        <w:br/>
        <w:t>сведения в отношении дочери не представляются, поскольку по состоянию на отчетную дату (31декабря 2018года) дочери служащего (работника) уже исполнилось 18лет, она являлась совершеннолетней</w:t>
      </w:r>
      <w:r w:rsidRPr="00D95F91">
        <w:rPr>
          <w:rFonts w:ascii="Arial" w:eastAsia="Times New Roman" w:hAnsi="Arial" w:cs="Arial"/>
          <w:color w:val="000000"/>
          <w:sz w:val="25"/>
          <w:szCs w:val="25"/>
          <w:lang w:eastAsia="ru-RU"/>
        </w:rPr>
        <w:br/>
        <w:t>Дочери служащего (работника) 31декабря 2018года исполнилось 18лет</w:t>
      </w:r>
      <w:r w:rsidRPr="00D95F91">
        <w:rPr>
          <w:rFonts w:ascii="Arial" w:eastAsia="Times New Roman" w:hAnsi="Arial" w:cs="Arial"/>
          <w:color w:val="000000"/>
          <w:sz w:val="25"/>
          <w:szCs w:val="25"/>
          <w:lang w:eastAsia="ru-RU"/>
        </w:rPr>
        <w:br/>
        <w:t>сведения в отношении дочери представляются, поскольку дочь служащего (работника) считается достигшей возраста 18лет на следующий день после дня рождения, то есть 1января 2019года. Таким образом, по состоянию на отчетную дату (31декабря 2018года) она еще являлась несовершеннолетней</w:t>
      </w:r>
      <w:r w:rsidRPr="00D95F91">
        <w:rPr>
          <w:rFonts w:ascii="Arial" w:eastAsia="Times New Roman" w:hAnsi="Arial" w:cs="Arial"/>
          <w:color w:val="000000"/>
          <w:sz w:val="25"/>
          <w:szCs w:val="25"/>
          <w:lang w:eastAsia="ru-RU"/>
        </w:rPr>
        <w:br/>
        <w:t>Пример: гражданин представляет в сентябре 2019года сведения в связи с назначением на должность. Отчетной датой является 1 августа 2019 года</w:t>
      </w:r>
      <w:r w:rsidRPr="00D95F91">
        <w:rPr>
          <w:rFonts w:ascii="Arial" w:eastAsia="Times New Roman" w:hAnsi="Arial" w:cs="Arial"/>
          <w:color w:val="000000"/>
          <w:sz w:val="25"/>
          <w:szCs w:val="25"/>
          <w:lang w:eastAsia="ru-RU"/>
        </w:rPr>
        <w:br/>
        <w:t>Сыну гражданина 5мая 2019года исполнилось 18лет</w:t>
      </w:r>
      <w:r w:rsidRPr="00D95F91">
        <w:rPr>
          <w:rFonts w:ascii="Arial" w:eastAsia="Times New Roman" w:hAnsi="Arial" w:cs="Arial"/>
          <w:color w:val="000000"/>
          <w:sz w:val="25"/>
          <w:szCs w:val="25"/>
          <w:lang w:eastAsia="ru-RU"/>
        </w:rPr>
        <w:br/>
        <w:t>сведения в отношении сына не представляются, поскольку он являлся совершеннолетним и по состоянию на отчетную дату (1августа 2019года) сыну гражданина уже исполнилось 18лет</w:t>
      </w:r>
      <w:r w:rsidRPr="00D95F91">
        <w:rPr>
          <w:rFonts w:ascii="Arial" w:eastAsia="Times New Roman" w:hAnsi="Arial" w:cs="Arial"/>
          <w:color w:val="000000"/>
          <w:sz w:val="25"/>
          <w:szCs w:val="25"/>
          <w:lang w:eastAsia="ru-RU"/>
        </w:rPr>
        <w:br/>
        <w:t>Сыну гражданина 1августа 2019года исполнилось 18лет</w:t>
      </w:r>
      <w:r w:rsidRPr="00D95F91">
        <w:rPr>
          <w:rFonts w:ascii="Arial" w:eastAsia="Times New Roman" w:hAnsi="Arial" w:cs="Arial"/>
          <w:color w:val="000000"/>
          <w:sz w:val="25"/>
          <w:szCs w:val="25"/>
          <w:lang w:eastAsia="ru-RU"/>
        </w:rPr>
        <w:br/>
        <w:t>сведения в отношении сына представляются, поскольку сын гражданина считается достигшим возраста 18лет на следующий день после дня рождения, то есть 2августа 2019года. Таким образом, по состоянию на отчетную дату (1августа 2019года) он еще являлся несовершеннолетним</w:t>
      </w:r>
      <w:r w:rsidRPr="00D95F91">
        <w:rPr>
          <w:rFonts w:ascii="Arial" w:eastAsia="Times New Roman" w:hAnsi="Arial" w:cs="Arial"/>
          <w:color w:val="000000"/>
          <w:sz w:val="25"/>
          <w:szCs w:val="25"/>
          <w:lang w:eastAsia="ru-RU"/>
        </w:rPr>
        <w:br/>
        <w:t>Сыну гражданина 17августа 2019года исполнилось 18лет</w:t>
      </w:r>
      <w:r w:rsidRPr="00D95F91">
        <w:rPr>
          <w:rFonts w:ascii="Arial" w:eastAsia="Times New Roman" w:hAnsi="Arial" w:cs="Arial"/>
          <w:color w:val="000000"/>
          <w:sz w:val="25"/>
          <w:szCs w:val="25"/>
          <w:lang w:eastAsia="ru-RU"/>
        </w:rPr>
        <w:br/>
        <w:t>сведения в отношении сына представляются, поскольку по состоянию на отчетную дату (1августа 2019года) сын гражданина являлся несовершеннолетним </w:t>
      </w:r>
      <w:r w:rsidRPr="00D95F91">
        <w:rPr>
          <w:rFonts w:ascii="Arial" w:eastAsia="Times New Roman" w:hAnsi="Arial" w:cs="Arial"/>
          <w:color w:val="000000"/>
          <w:sz w:val="25"/>
          <w:szCs w:val="25"/>
          <w:lang w:eastAsia="ru-RU"/>
        </w:rPr>
        <w:br/>
        <w:t xml:space="preserve">24. Представление служащим (работником) сведений в отношении </w:t>
      </w:r>
      <w:r w:rsidRPr="00D95F91">
        <w:rPr>
          <w:rFonts w:ascii="Arial" w:eastAsia="Times New Roman" w:hAnsi="Arial" w:cs="Arial"/>
          <w:color w:val="000000"/>
          <w:sz w:val="25"/>
          <w:szCs w:val="25"/>
          <w:lang w:eastAsia="ru-RU"/>
        </w:rPr>
        <w:lastRenderedPageBreak/>
        <w:t>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Уточнение представленных сведений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28. Служащий (работник) может представить уточненные сведения в течение одного месяца после окончания срока представления сведений (1(30)апреля года, следующего за отчетным), а именно 1 (31) мая года, следующего за отчетным.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Рекомендуемые действия при невозможности представить сведения в отношении члена семьи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пункта2Положения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25февраля 2011г.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от1июля 2010г.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w:t>
      </w:r>
      <w:r w:rsidRPr="00D95F91">
        <w:rPr>
          <w:rFonts w:ascii="Arial" w:eastAsia="Times New Roman" w:hAnsi="Arial" w:cs="Arial"/>
          <w:color w:val="000000"/>
          <w:sz w:val="25"/>
          <w:szCs w:val="25"/>
          <w:lang w:eastAsia="ru-RU"/>
        </w:rPr>
        <w:lastRenderedPageBreak/>
        <w:t>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9октября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31. Заявление должно быть направлено до истечения срока, установленного для представления служащим (работником) сведений.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Заявление подается (таблица №4):</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В Управление Президента Российской Федерации по вопросам противодействия коррупции</w:t>
      </w:r>
      <w:r w:rsidRPr="00D95F91">
        <w:rPr>
          <w:rFonts w:ascii="Arial" w:eastAsia="Times New Roman" w:hAnsi="Arial" w:cs="Arial"/>
          <w:color w:val="000000"/>
          <w:sz w:val="25"/>
          <w:szCs w:val="25"/>
          <w:lang w:eastAsia="ru-RU"/>
        </w:rPr>
        <w:b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r w:rsidRPr="00D95F91">
        <w:rPr>
          <w:rFonts w:ascii="Arial" w:eastAsia="Times New Roman" w:hAnsi="Arial" w:cs="Arial"/>
          <w:color w:val="000000"/>
          <w:sz w:val="25"/>
          <w:szCs w:val="25"/>
          <w:lang w:eastAsia="ru-RU"/>
        </w:rPr>
        <w:br/>
        <w:t>В Департамент государственной службы и кадров Правительства Российской Федерации </w:t>
      </w:r>
      <w:r w:rsidRPr="00D95F91">
        <w:rPr>
          <w:rFonts w:ascii="Arial" w:eastAsia="Times New Roman" w:hAnsi="Arial" w:cs="Arial"/>
          <w:color w:val="000000"/>
          <w:sz w:val="25"/>
          <w:szCs w:val="25"/>
          <w:lang w:eastAsia="ru-RU"/>
        </w:rPr>
        <w:b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r w:rsidRPr="00D95F91">
        <w:rPr>
          <w:rFonts w:ascii="Arial" w:eastAsia="Times New Roman" w:hAnsi="Arial" w:cs="Arial"/>
          <w:color w:val="000000"/>
          <w:sz w:val="25"/>
          <w:szCs w:val="25"/>
          <w:lang w:eastAsia="ru-RU"/>
        </w:rPr>
        <w:br/>
        <w:t>В подразделение кадровой службы федерального государственного органа по профилактике коррупционных и иных правонарушений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r w:rsidRPr="00D95F91">
        <w:rPr>
          <w:rFonts w:ascii="Arial" w:eastAsia="Times New Roman" w:hAnsi="Arial" w:cs="Arial"/>
          <w:color w:val="000000"/>
          <w:sz w:val="25"/>
          <w:szCs w:val="25"/>
          <w:lang w:eastAsia="ru-RU"/>
        </w:rPr>
        <w:b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r w:rsidRPr="00D95F91">
        <w:rPr>
          <w:rFonts w:ascii="Arial" w:eastAsia="Times New Roman" w:hAnsi="Arial" w:cs="Arial"/>
          <w:color w:val="000000"/>
          <w:sz w:val="25"/>
          <w:szCs w:val="25"/>
          <w:lang w:eastAsia="ru-RU"/>
        </w:rPr>
        <w:br/>
      </w:r>
      <w:r w:rsidRPr="00D95F91">
        <w:rPr>
          <w:rFonts w:ascii="Arial" w:eastAsia="Times New Roman" w:hAnsi="Arial" w:cs="Arial"/>
          <w:color w:val="000000"/>
          <w:sz w:val="25"/>
          <w:szCs w:val="25"/>
          <w:lang w:eastAsia="ru-RU"/>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r w:rsidRPr="00D95F91">
        <w:rPr>
          <w:rFonts w:ascii="Arial" w:eastAsia="Times New Roman" w:hAnsi="Arial" w:cs="Arial"/>
          <w:color w:val="000000"/>
          <w:sz w:val="25"/>
          <w:szCs w:val="25"/>
          <w:lang w:eastAsia="ru-RU"/>
        </w:rPr>
        <w:b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r w:rsidRPr="00D95F91">
        <w:rPr>
          <w:rFonts w:ascii="Arial" w:eastAsia="Times New Roman" w:hAnsi="Arial" w:cs="Arial"/>
          <w:color w:val="000000"/>
          <w:sz w:val="25"/>
          <w:szCs w:val="25"/>
          <w:lang w:eastAsia="ru-RU"/>
        </w:rPr>
        <w:br/>
        <w:t>В подразделение по профилактике коррупционных и иных правонарушений Центрального банка Российской Федерации </w:t>
      </w:r>
      <w:r w:rsidRPr="00D95F91">
        <w:rPr>
          <w:rFonts w:ascii="Arial" w:eastAsia="Times New Roman" w:hAnsi="Arial" w:cs="Arial"/>
          <w:color w:val="000000"/>
          <w:sz w:val="25"/>
          <w:szCs w:val="25"/>
          <w:lang w:eastAsia="ru-RU"/>
        </w:rPr>
        <w:br/>
        <w:t>лицами, занимающими должности, включенные в перечень, утвержденный Советом директоров Центрального банка Российской Федерации </w:t>
      </w:r>
      <w:r w:rsidRPr="00D95F91">
        <w:rPr>
          <w:rFonts w:ascii="Arial" w:eastAsia="Times New Roman" w:hAnsi="Arial" w:cs="Arial"/>
          <w:color w:val="000000"/>
          <w:sz w:val="25"/>
          <w:szCs w:val="25"/>
          <w:lang w:eastAsia="ru-RU"/>
        </w:rPr>
        <w:b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r w:rsidRPr="00D95F91">
        <w:rPr>
          <w:rFonts w:ascii="Arial" w:eastAsia="Times New Roman" w:hAnsi="Arial" w:cs="Arial"/>
          <w:color w:val="000000"/>
          <w:sz w:val="25"/>
          <w:szCs w:val="25"/>
          <w:lang w:eastAsia="ru-RU"/>
        </w:rPr>
        <w:b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II. Заполнение справки о доходах, расходах, об имуществе и обязательствах имущественного характера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34. Форма справки о доходах, расходах, об имуществе и обязательствах имущественного характера утверждена Указом Президента Российской Федерации от 23июня2014г.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ТИТУЛЬНЫЙ ЛИСТ</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38. При заполнении титульного листа справки рекомендуется обратить внимание на следующее: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2)дата рождения (год рождения) указывается в соответствии с записью в документе, удостоверяющем личность;</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При заполнении справки лицом, замещающим муниципальную должность на непостоянной основе, указывается муниципальная должность;</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РАЗДЕЛ 1. СВЕДЕНИЯ О ДОХОДАХ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39. При заполнении данного раздела справки не следует руководствоваться только содержанием термина «доход», определенным в статье41Налогового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Доход по основному месту работы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40.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Особенности заполнения данного раздела отдельными категориями лиц</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1)при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43.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Доход от педагогической и научной деятельности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45.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Доход от иной творческой деятельности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47.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48.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Доход от вкладов в банках и иных кредитных организациях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49.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50.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51. Доход, полученный в иностранной валюте, указывается в рублях по курсу Банка России на дату получения дохода.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54. Не рекомендуется проводить какие-либо самостоятельные расчеты, поскольку вероятно возникновение различного рода ошибок.</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Доход от ценных бумаг и долей участия в коммерческих организациях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57.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2)доход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разделе5 справки «Сведения о ценных бумагах» (в случае если по состоянию на отчетную дату служащий (работник), член его семьи обладал такими бумагами).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Иные доходы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58. В данной строке указываются доходы, которые не были отражены в строках 1-5 справки.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Так, например, в строке иные доходы могут быть указаны: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 пенсия (при этом разные виды пенсий (по возрасту и пенсия военнослужащего) не следует суммировать);</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 стипендия;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w:t>
      </w:r>
      <w:r w:rsidRPr="00D95F91">
        <w:rPr>
          <w:rFonts w:ascii="Arial" w:eastAsia="Times New Roman" w:hAnsi="Arial" w:cs="Arial"/>
          <w:color w:val="000000"/>
          <w:sz w:val="25"/>
          <w:szCs w:val="25"/>
          <w:lang w:eastAsia="ru-RU"/>
        </w:rPr>
        <w:lastRenderedPageBreak/>
        <w:t>жилья (в случае если в отчетном периоде на счет служащего (работника) либо его супруги (супруга) перечислены денежные средства данной выплаты);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900000руб., при этом в ходе покупки автосалон оценил имевшийся у служащего (работника), члена его семьи старый автомобиль в 300000руб.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300000руб. является доходом и подлежит указанию в строке «Иные доходы»);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 проценты по долговым обязательствам;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 денежные средства, полученные в порядке дарения или наследования;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16) возмещение вреда, причиненного увечьем или иным повреждением здоровья;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17) выплаты, связанные с гибелью (смертью), выплаченные наследникам;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23) выигрыши в лотереях, тотализаторах, конкурсах и иных играх;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24) выплаты членам профсоюзных организаций, полученные от данных профсоюзных организаций;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26) вознаграждение, полученное при осуществлении опеки или попечительства на возмездной основе;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27) 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29) денежные средства, полученные в качестве оплаты услуг или товаров;</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32) доход, полученный по договорам переуступки прав требования на строящиеся объекты недвижимости;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34) выплаченная ликвидационная стоимость ценных бумаг при ликвидации коммерческой организации;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35) денежные средства, полученные в связи с прощением долга служащему (работнику), его супруге (супругу) или несовершеннолетним детям;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36) иные аналогичные выплаты.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59.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60. С учетом целей антикоррупционного законодательства в строке6«Иные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1)со служебными командировками;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4)с оплатой стоимости и (или) выдачи полагающегося натурального довольствия, а также выплатой денежных средств взамен этого довольствия;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5)с приобретением проездных документов для исполнения служебных (должностных) обязанностей;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6)с оплатой коммунальных и иных услуг, наймом жилого помещения;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7)с внесением родительской платы за посещение дошкольного образовательного учреждения;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8)с оформлением нотариальной доверенности, почтовыми расходами, расходами на оплату услуг представителя (возмещаются по решению суда);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Также не указываются сведения о денежных средствах, полученных: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9)в виде социального, имущественного, инвестиционного налогового вычета;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10)от продажи различного вида подарочных сертификатов (карт), выпущенных предприятиями торговли;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11)в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12)в виде материальной выгоды, предусмотренной статьей212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13) в качестве возврата налога на добавленную стоимость, уплаченного при совершении покупок за границей, по чекам Tax-free;</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14)в качестве вознаграждения донорам за сданную кровь, ее компонентов (и иную помощь);</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15)в виде кредитов, займов. В случае если сумма кредита, займа равна или превышает 500000рублей, то данное срочное обязательство финансового характера подлежит указанию в разделе 6.2 справки;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16)в качестве возмещения расходов на повышение профессионального уровня за счет средств представителя нанимателя (работодателя);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17)в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18)в связи с переводом денежных средств между банковскими счетами супругов и несовершеннолетних детей;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19)в связи с возвратом денежных средств по несостоявшемуся договору купли-продажи;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20)в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21)в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22)на специальный избирательный счет в соответствии с Федеральным законом от 12июня 2002г. №67-ФЗ «Об основных гарантиях избирательных прав и права на участие в референдуме граждан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РАЗДЕЛ 2. СВЕДЕНИЯ О РАСХОДАХ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 xml:space="preserve">61.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w:t>
      </w:r>
      <w:r w:rsidRPr="00D95F91">
        <w:rPr>
          <w:rFonts w:ascii="Arial" w:eastAsia="Times New Roman" w:hAnsi="Arial" w:cs="Arial"/>
          <w:color w:val="000000"/>
          <w:sz w:val="25"/>
          <w:szCs w:val="25"/>
          <w:lang w:eastAsia="ru-RU"/>
        </w:rPr>
        <w:lastRenderedPageBreak/>
        <w:t>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2018году.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62. Граждане, поступающие на службу (работу), раздел «Сведения о расходах» не заполняют.</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63. Заполнение данного раздела при отсутствии указанных в пункте61 настоящих Методических рекомендаций оснований не является нарушением.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65. Для цели реализации пункта 61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67. Данный раздел не заполняется в следующих случаях: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3декабря 2012г. № 230-ФЗ);</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3)получено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68.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69.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72.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73. Особенности заполнения раздела «Сведения о расходах»: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РАЗДЕЛ 3. СВЕДЕНИЯ ОБ ИМУЩЕСТВЕ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Подраздел 3.1 Недвижимое имущество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74. Понятие недвижимого имущества установлено статьей130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 xml:space="preserve">75.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w:t>
      </w:r>
      <w:r w:rsidRPr="00D95F91">
        <w:rPr>
          <w:rFonts w:ascii="Arial" w:eastAsia="Times New Roman" w:hAnsi="Arial" w:cs="Arial"/>
          <w:color w:val="000000"/>
          <w:sz w:val="25"/>
          <w:szCs w:val="25"/>
          <w:lang w:eastAsia="ru-RU"/>
        </w:rPr>
        <w:lastRenderedPageBreak/>
        <w:t>когда они были приобретены, в каком регионе Российской Федерации или в каком государстве зарегистрированы.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76.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Заполнение графы «Вид и наименование имущества»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80. В соответствии со статьей2 Федерального закона от 7июля 2003г. №112-ФЗ «Оличном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82.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83. При заполнении пункта 3 «Квартиры» соответственно вносятся сведения о ней, например 2-комнатная квартира.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84. В строке4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85. В графе «Вид собственности» указывается вид собственности на имущество (индивидуальная, общая совместная, общая долевая).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86.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88. Местонахождение (адрес) недвижимого имущества указывается согласно правоустанавливающим документам. При этом указывается: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1)субъект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2)район;</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3)город, иной населенный пункт (село, поселок и т.д.);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4)улица (проспект, переулок и т.д.);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5)номер дома (владения, участка), корпуса (строения), квартиры.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Также рекомендуется указывать индекс.</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89. Если недвижимое имущество находится за рубежом, то указывается: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1)наименование государства;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2)населенный пункт (иная единица административно-территориального деления);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3)почтовый адрес.</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Основание приобретения и источники средств</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93. В случае если право на недвижимое имущество возникло до вступления в силу Федерального закона от 21 июля 1997 г.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№1-345/95 о передаче недвижимого имущества в собственность и др.).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 2018 г., договор купли-продажи от 19февраля 2018 г. и т.д.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части1 статьи 2 Федерального закона от 7 мая 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1)на лиц, замещающих (занимающих):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государственные должности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должности первого заместителя и заместителей Генерального прокурора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должности членов Совета директоров Центрального банка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государственные должности субъектов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должности заместителей руководителей федеральных органов исполнительной власти;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2)на супруг (супругов), несовершеннолетних детей лиц, указанных в абзацах втором-десятом подпункта 1 настоящего пункта;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3)иных лиц в случаях, предусмотренных федеральными законами.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Сведения о вышеуказанном источнике отображаются в справке ежегодно, вне зависимости от года приобретения имущества.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Подраздел 3.2. Транспортные средства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26июня 2018 г. № 399).</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100.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101. Аналогичным подходом необходимо руководствоваться при указании в данном подразделе водного, воздушного транспорта.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102. В строке 7 «Иные транспортные средства» подлежат указанию прицепы, зарегистрированные в установленном порядке.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РАЗДЕЛ 4. СВЕДЕНИЯ О СЧЕТАХ В БАНКАХ И ИНЫХ КРЕДИТНЫХ ОРГАНИЗАЦИЯХ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103.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1)счета с нулевым остатком по состоянию на отчетную дату;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3)счета (вклады) в иностранных банках, расположенных за пределами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5)счета, открытые для погашения кредита.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6)вклады (счета) в драгоценных металлах (в том числе указывается вид счета и металл, в котором он открыт).</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105. С учетом целей антикоррупционного законодательства в данном разделе не указываются следующие счета: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1)счета, закрытые по состоянию на отчетную дату;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3)депозитные счета нотариуса;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4)счета,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5)счета доверительного управления;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 открываемые не на основании гражданско-правового договора счета, счета депо, счета брокера, индивидуальные инвестиционные счета.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106. В графе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107.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30мая 2014г. №153-И «Об открытии и закрытии банковских счетов, счетов по вкладам (депозитам), депозитных счетов».</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108. В соответствии с указанной Инструкцией физическим лицам открываются следующие счета: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1)текущий счет (для совершения операций, не связанных с предпринимательской деятельностью или частной практикой);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109. В графе «Дата открытия счета» не допускается указание даты выпуска (перевыпуска) платежной карты.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110. Графа «Остаток на счете» заполняется по состоянию на отчетную дату.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 xml:space="preserve">111.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2019году указывается общая сумма денежных средств, поступивших на счет в 2018году, если эта сумма превышает общий доход служащего (работника) и его супруги (супруга) за </w:t>
      </w:r>
      <w:r w:rsidRPr="00D95F91">
        <w:rPr>
          <w:rFonts w:ascii="Arial" w:eastAsia="Times New Roman" w:hAnsi="Arial" w:cs="Arial"/>
          <w:color w:val="000000"/>
          <w:sz w:val="25"/>
          <w:szCs w:val="25"/>
          <w:lang w:eastAsia="ru-RU"/>
        </w:rPr>
        <w:lastRenderedPageBreak/>
        <w:t>2016, 2017 и 2018годы. В этом случае к справке прилагается выписка о движении денежных средств по данному счету за отчетный период.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 этом в данной графе следует сделать специальную пометку «Выписка от _______ № прилагается на л.».</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Для счетов в иностранной валюте сумма указывается в рублях по курсу Банка России на отчетную дату.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Совместный счет</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Кредитные карты, карты с овердрафтом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114. Банк (иная кредитная организация) выпускает следующие виды карт (таблица №5):</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Расчетная (дебетовая)</w:t>
      </w:r>
      <w:r w:rsidRPr="00D95F91">
        <w:rPr>
          <w:rFonts w:ascii="Arial" w:eastAsia="Times New Roman" w:hAnsi="Arial" w:cs="Arial"/>
          <w:color w:val="000000"/>
          <w:sz w:val="25"/>
          <w:szCs w:val="25"/>
          <w:lang w:eastAsia="ru-RU"/>
        </w:rPr>
        <w:b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организацией-эмитентом клиенту при недостаточности или отсутствии на банковском счете денежных средств (овердрафт)</w:t>
      </w:r>
      <w:r w:rsidRPr="00D95F91">
        <w:rPr>
          <w:rFonts w:ascii="Arial" w:eastAsia="Times New Roman" w:hAnsi="Arial" w:cs="Arial"/>
          <w:color w:val="000000"/>
          <w:sz w:val="25"/>
          <w:szCs w:val="25"/>
          <w:lang w:eastAsia="ru-RU"/>
        </w:rPr>
        <w:br/>
        <w:t>Кредитная</w:t>
      </w:r>
      <w:r w:rsidRPr="00D95F91">
        <w:rPr>
          <w:rFonts w:ascii="Arial" w:eastAsia="Times New Roman" w:hAnsi="Arial" w:cs="Arial"/>
          <w:color w:val="000000"/>
          <w:sz w:val="25"/>
          <w:szCs w:val="25"/>
          <w:lang w:eastAsia="ru-RU"/>
        </w:rPr>
        <w:br/>
        <w:t>Как электронное средство платежа используется для совершения ее держателем операций за счет </w:t>
      </w:r>
      <w:r w:rsidRPr="00D95F91">
        <w:rPr>
          <w:rFonts w:ascii="Arial" w:eastAsia="Times New Roman" w:hAnsi="Arial" w:cs="Arial"/>
          <w:color w:val="000000"/>
          <w:sz w:val="25"/>
          <w:szCs w:val="25"/>
          <w:lang w:eastAsia="ru-RU"/>
        </w:rPr>
        <w:br/>
        <w:t>денежных средств, предоставленных кредитной </w:t>
      </w:r>
      <w:r w:rsidRPr="00D95F91">
        <w:rPr>
          <w:rFonts w:ascii="Arial" w:eastAsia="Times New Roman" w:hAnsi="Arial" w:cs="Arial"/>
          <w:color w:val="000000"/>
          <w:sz w:val="25"/>
          <w:szCs w:val="25"/>
          <w:lang w:eastAsia="ru-RU"/>
        </w:rPr>
        <w:br/>
        <w:t>организацией-эмитентом клиенту в пределах расходного лимита в соответствии с условиями кредитного договора.</w:t>
      </w:r>
      <w:r w:rsidRPr="00D95F91">
        <w:rPr>
          <w:rFonts w:ascii="Arial" w:eastAsia="Times New Roman" w:hAnsi="Arial" w:cs="Arial"/>
          <w:color w:val="000000"/>
          <w:sz w:val="25"/>
          <w:szCs w:val="25"/>
          <w:lang w:eastAsia="ru-RU"/>
        </w:rPr>
        <w:br/>
        <w:t>115. Расчетная (дебетовая) и кредитные карты, как правило, предполагают открытие и ведение банком (иной кредитной организацией) счета.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116. В случае, если предоставленный кредит (израсходованный овердрафт) по расчетной (дебетовой) карте равен или превышает 500000руб., то возникшее в этой связи обязательство финансового характера необходимо указать в подразделе 6.2 справки.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117. В случае, если расходный лимит кредитной карты равен или превышает 500000руб., то возникшее в этой связи обязательство финансового характера, равное или превышающее 500000руб., необходимо указать в подразделе 6.2 справки.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120.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30апреля 2008г. №56-ФЗ «Одополнительных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Отзыв лицензии у кредитной организации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121.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123. До момента закрытия соответствующего счета, счет считается открытым и подлежит отражению в разделе 4 справки.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Ликвидация кредитной организации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РАЗДЕЛ 5. СВЕДЕНИЯ О ЦЕННЫХ БУМАГАХ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126.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разделе1 «Сведения о доходах» (строка 5 «Доход от ценных бумаг и долей участия в коммерческих организациях»).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подразделе 5.1 или 5.2 соответственно.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Подраздел 5.1. Акции и иное участие в коммерческих организациях и фондах</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127. В соответствии с Федеральным законом от 22апреля 1996г.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128.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В случае если служащий (работник) является учредителем организации, то данную информацию также необходимо отразить.</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Если законодательством не предусмотрено формирование уставного капитала, то указывается «0 руб.».</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Подраздел 5.2. Иные ценные бумаги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Государственный сертификат на материнский (семейный) капитал не является ценной бумагой и не подлежит указанию в подразделе 5.2 справки.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132. В подразделе 5.2 указываются все ценные бумаги по видам (облигации, векселя и другие), за исключением акций, указанных в подразделе5.1.</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133.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РАЗДЕЛ 6. СВЕДЕНИЯ ОБ ОБЯЗАТЕЛЬСТВАХ ИМУЩЕСТВЕННОГО ХАРАКТЕРА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Подраздел 6.1. Объекты недвижимого имущества, находящиеся в пользовании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134.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135.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Не требуется в данном подразделе справки одного из супругов указывать все объекты недвижимости, находящиеся в собственности другого супруга, при условии, что эти объекты указаны в разделе 3.1 соответствующей справки (аналогично в отношении несовершеннолетних детей).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136.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137. В том числе указанию подлежат сведения о жилом помещении (дом, квартира, комната), нежилом помещении, земельном участке, гараже и т.д.:</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3)занимаемых по договору аренды (найма, поднайма);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4)занимаемых по договорам социального найма;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5)объекты незавершенного строительства, используемые для бытовых нужд, но не зарегистрированные в установленном порядке органами Росреестра;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 принадлежащем на праве пожизненного наследуемого владения земельным участком.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138. При этом указывается общая площадь объекта недвижимого имущества, находящегося в пользовании.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139. Сведения об объектах недвижимого имущества, находящихся в пользовании, указываются по состоянию на отчетную дату.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140. В графе «Вид имущества» указывается вид недвижимого имущества (земельный участок, жилой дом, дача, квартира, комната и др.).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141. В графе «Вид и сроки пользования» указываются вид пользования (аренда, безвозмездное пользование и др.) и сроки пользования.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142.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143.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подраздел6.1. не вносятся.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При этом данные доли собственности должны быть отражены в подразделе 3.1. справок служащего (работника) и его супруги (супруга).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Подраздел 6.2. Срочные обязательства финансового характера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145.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является служащий (работник), его супруга (супруг), несовершеннолетний ребенок.</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146. В графе «Содержание обязательства» указывается существо обязательства (заем, кредит и другие).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147.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Например,</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г.Москва, Ленинский пр-т, д.8, кв.1. Основанием возникновения обязательства в этом случае является договор займа с указанием даты подписания.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148.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149. В графе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150. В случае если на отчетную дату размер обязательства (оставшийся непогашенным долг с суммой процентов) составил менее 500000рублей, то такое финансовое обязательство в справке не указывается.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151.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152. Помимо прочего подлежат указанию:</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lastRenderedPageBreak/>
        <w:t>1)договор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500000 руб.);</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2)договор финансовой аренды (лизинг);</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3)договор займа;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4)договор финансирования под уступку денежного требования;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5)обязательства, связанные с заключением договора об уступке права требования;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6)обязательства вследствие причинения вреда (финансовые);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8)обязательства по уплате алиментов (если по состоянию на отчетную дату сумма невыплаченных алиментов равна или превышает 500000 руб.);</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9)обязательства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500000 руб.);</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10)иные обязательства, в том числе установленные решением суда.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153. Отдельные виды срочных обязательств финансового характера: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w:t>
      </w:r>
      <w:r w:rsidRPr="00D95F91">
        <w:rPr>
          <w:rFonts w:ascii="Arial" w:eastAsia="Times New Roman" w:hAnsi="Arial" w:cs="Arial"/>
          <w:color w:val="000000"/>
          <w:sz w:val="25"/>
          <w:szCs w:val="25"/>
          <w:lang w:eastAsia="ru-RU"/>
        </w:rPr>
        <w:lastRenderedPageBreak/>
        <w:t>недвижимости, например, ЖСК, предварительные договоры купли-продажи и другие формы участия.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2)обязательства по ипотеке в случае разделения суммы кредита между супругами. Согласно пунктам 4 и 5 статьи 9 Федерального закона от 16июля 1998г.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3)обязательства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В графе 3 подраздела 6.2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разделу справки. В графе 5 указываются сумма обязательства и размер обязательства по состоянию на отчетную дату, выраженные в рублевом эквиваленте.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 xml:space="preserve">4)обязательства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w:t>
      </w:r>
      <w:r w:rsidRPr="00D95F91">
        <w:rPr>
          <w:rFonts w:ascii="Arial" w:eastAsia="Times New Roman" w:hAnsi="Arial" w:cs="Arial"/>
          <w:color w:val="000000"/>
          <w:sz w:val="25"/>
          <w:szCs w:val="25"/>
          <w:lang w:eastAsia="ru-RU"/>
        </w:rPr>
        <w:lastRenderedPageBreak/>
        <w:t>профессионального участника – обязательства вернуть по требованию клиента переданные денежные средства).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154. 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156. К безвозмездной сделке можно отнести договор дарения.</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157. Каждый объект безвозмездной сделки указывается отдельно.</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158.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79 настоящих Методических рекомендаций), местонахождение (адрес) в соответствии с пунктами 88-89 настоящих Методических рекомендаций, площадь (кв. м) в соответствии с пунктом 90 настоящих Методических рекомендаций.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159. В строке «Транспортные средства» рекомендуется указывать вид, марку, модель транспортного средства, год изготовления, место регистрации.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160.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128 настоящих Методических рекомендаций, местонахождение организации (адрес), уставный капитал в соответствии с пунктом 129 настоящих Методических рекомендаций, доли участия в соответствии с пунктом 130 настоящих Методических рекомендаций.</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 xml:space="preserve">161.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w:t>
      </w:r>
      <w:r w:rsidRPr="00D95F91">
        <w:rPr>
          <w:rFonts w:ascii="Arial" w:eastAsia="Times New Roman" w:hAnsi="Arial" w:cs="Arial"/>
          <w:color w:val="000000"/>
          <w:sz w:val="25"/>
          <w:szCs w:val="25"/>
          <w:lang w:eastAsia="ru-RU"/>
        </w:rPr>
        <w:lastRenderedPageBreak/>
        <w:t>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D95F91" w:rsidRPr="00D95F91" w:rsidRDefault="00D95F91" w:rsidP="00D95F91">
      <w:pPr>
        <w:shd w:val="clear" w:color="auto" w:fill="FFFFFF"/>
        <w:spacing w:after="136" w:line="240" w:lineRule="auto"/>
        <w:jc w:val="both"/>
        <w:rPr>
          <w:rFonts w:ascii="Arial" w:eastAsia="Times New Roman" w:hAnsi="Arial" w:cs="Arial"/>
          <w:color w:val="000000"/>
          <w:sz w:val="25"/>
          <w:szCs w:val="25"/>
          <w:lang w:eastAsia="ru-RU"/>
        </w:rPr>
      </w:pPr>
      <w:r w:rsidRPr="00D95F91">
        <w:rPr>
          <w:rFonts w:ascii="Arial" w:eastAsia="Times New Roman" w:hAnsi="Arial" w:cs="Arial"/>
          <w:color w:val="000000"/>
          <w:sz w:val="25"/>
          <w:szCs w:val="25"/>
          <w:lang w:eastAsia="ru-RU"/>
        </w:rPr>
        <w:t>162.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D95F91" w:rsidRPr="00D95F91" w:rsidRDefault="00D95F91" w:rsidP="00D95F91">
      <w:pPr>
        <w:shd w:val="clear" w:color="auto" w:fill="FFFFFF"/>
        <w:spacing w:after="0" w:line="240" w:lineRule="auto"/>
        <w:rPr>
          <w:rFonts w:ascii="Arial" w:eastAsia="Times New Roman" w:hAnsi="Arial" w:cs="Arial"/>
          <w:color w:val="000000"/>
          <w:sz w:val="25"/>
          <w:szCs w:val="25"/>
          <w:lang w:eastAsia="ru-RU"/>
        </w:rPr>
      </w:pPr>
    </w:p>
    <w:p w:rsidR="003E04DC" w:rsidRDefault="00D95F91"/>
    <w:sectPr w:rsidR="003E04DC" w:rsidSect="00D95F91">
      <w:pgSz w:w="11907" w:h="16840" w:code="9"/>
      <w:pgMar w:top="1134" w:right="850" w:bottom="1134"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rawingGridVerticalSpacing w:val="163"/>
  <w:displayHorizontalDrawingGridEvery w:val="0"/>
  <w:displayVerticalDrawingGridEvery w:val="2"/>
  <w:characterSpacingControl w:val="doNotCompress"/>
  <w:compat/>
  <w:rsids>
    <w:rsidRoot w:val="00D95F91"/>
    <w:rsid w:val="000A1ACC"/>
    <w:rsid w:val="002239CC"/>
    <w:rsid w:val="002D204F"/>
    <w:rsid w:val="004D4625"/>
    <w:rsid w:val="00CC34C9"/>
    <w:rsid w:val="00D95F91"/>
    <w:rsid w:val="00DD6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5F91"/>
    <w:rPr>
      <w:b/>
      <w:bCs/>
    </w:rPr>
  </w:style>
</w:styles>
</file>

<file path=word/webSettings.xml><?xml version="1.0" encoding="utf-8"?>
<w:webSettings xmlns:r="http://schemas.openxmlformats.org/officeDocument/2006/relationships" xmlns:w="http://schemas.openxmlformats.org/wordprocessingml/2006/main">
  <w:divs>
    <w:div w:id="2076275926">
      <w:bodyDiv w:val="1"/>
      <w:marLeft w:val="0"/>
      <w:marRight w:val="0"/>
      <w:marTop w:val="0"/>
      <w:marBottom w:val="0"/>
      <w:divBdr>
        <w:top w:val="none" w:sz="0" w:space="0" w:color="auto"/>
        <w:left w:val="none" w:sz="0" w:space="0" w:color="auto"/>
        <w:bottom w:val="none" w:sz="0" w:space="0" w:color="auto"/>
        <w:right w:val="none" w:sz="0" w:space="0" w:color="auto"/>
      </w:divBdr>
      <w:divsChild>
        <w:div w:id="145983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15944</Words>
  <Characters>90886</Characters>
  <Application>Microsoft Office Word</Application>
  <DocSecurity>0</DocSecurity>
  <Lines>757</Lines>
  <Paragraphs>213</Paragraphs>
  <ScaleCrop>false</ScaleCrop>
  <Company>CtrlSoft</Company>
  <LinksUpToDate>false</LinksUpToDate>
  <CharactersWithSpaces>106617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2019-08-21T12:24:00Z</dcterms:created>
  <dcterms:modified xsi:type="dcterms:W3CDTF">2019-08-21T12:24:00Z</dcterms:modified>
</cp:coreProperties>
</file>